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8951" cy="191452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0435046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48950" cy="191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4.2pt;height:150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/>
          <w:bCs/>
          <w:i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i/>
          <w:iCs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240" w:after="240"/>
        <w:rPr>
          <w:rFonts w:ascii="Arial" w:hAnsi="Arial" w:cs="Arial"/>
          <w:bCs/>
          <w:i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Restaurate le fontane del Giardino orientale del MANN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ind w:left="495" w:right="499" w:firstLine="0"/>
        <w:jc w:val="center"/>
        <w:spacing w:before="2" w:line="242" w:lineRule="auto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Un nuovo passo verso un museo sempre più accogliente e sostenibile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</w:rPr>
      </w:r>
    </w:p>
    <w:p>
      <w:pPr>
        <w:pStyle w:val="602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</w:r>
    </w:p>
    <w:p>
      <w:pPr>
        <w:pStyle w:val="602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9 giugno</w:t>
      </w:r>
      <w:r>
        <w:rPr>
          <w:rFonts w:ascii="Arial" w:hAnsi="Arial" w:cs="Arial"/>
        </w:rPr>
        <w:t xml:space="preserve"> 2025. </w:t>
      </w:r>
      <w:r>
        <w:rPr>
          <w:rFonts w:ascii="Arial" w:hAnsi="Arial" w:cs="Arial"/>
        </w:rPr>
        <w:t xml:space="preserve">Con la conclusione dell’intervento di restauro delle fontane storiche del Giardino orientale, il Museo Archeologico Nazionale di Napoli restituisce alla città un altro dei suoi spazi evocativi, dove collezioni e architetture verdi si intrecciano </w:t>
      </w:r>
      <w:r>
        <w:rPr>
          <w:rFonts w:ascii="Arial" w:hAnsi="Arial" w:cs="Arial"/>
        </w:rPr>
        <w:t xml:space="preserve">in un dialogo armonico. Un intervento reso possibile grazie a un’erogazione liberale di Acqua Campania S.p.A. (Nepta – Gruppo Italgas), attraverso lo strumento dell’Art Bonus.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Nel cuore verde del Museo, dove l’esperienza della visita si proietta all’esterno e invita alla pausa e alla riflessione, le tre fontane sono tornate a funzionare. Non si tratta soltanto di un intervento tecnico, ma di un progetto che riflette una visione </w:t>
      </w:r>
      <w:r>
        <w:rPr>
          <w:rFonts w:ascii="Arial" w:hAnsi="Arial" w:cs="Arial"/>
        </w:rPr>
        <w:t xml:space="preserve">rinnovata del museo come luogo di benessere, accoglienza e relazione.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"</w:t>
      </w:r>
      <w:r>
        <w:rPr>
          <w:rFonts w:ascii="Arial" w:hAnsi="Arial" w:cs="Arial"/>
          <w:i/>
          <w:iCs/>
        </w:rPr>
        <w:t xml:space="preserve">Anche i giardini fanno pienamente parte della nostra idea di museo</w:t>
      </w:r>
      <w:r>
        <w:rPr>
          <w:rFonts w:ascii="Arial" w:hAnsi="Arial" w:cs="Arial"/>
        </w:rPr>
        <w:t xml:space="preserve"> – commenta il Direttore generale Musei, Massimo Osanna –. </w:t>
      </w:r>
      <w:r>
        <w:rPr>
          <w:rFonts w:ascii="Arial" w:hAnsi="Arial" w:cs="Arial"/>
          <w:i/>
          <w:iCs/>
        </w:rPr>
        <w:t xml:space="preserve">Sono spazi di incontro e di sosta, capaci di offrire un tempo diverso, più intimo, in dialogo con la bellezza. Questo restauro res</w:t>
      </w:r>
      <w:r>
        <w:rPr>
          <w:rFonts w:ascii="Arial" w:hAnsi="Arial" w:cs="Arial"/>
          <w:i/>
          <w:iCs/>
        </w:rPr>
        <w:t xml:space="preserve">tituisce non solo la funzionalità delle fontane, ma anche il senso profondo di un luogo pensato per essere vissuto. Ringrazio Acqua Campania, l’Advisory Board e tutti i professionisti del Museo che hanno reso possibile questo intervento</w:t>
      </w:r>
      <w:r>
        <w:rPr>
          <w:rFonts w:ascii="Arial" w:hAnsi="Arial" w:cs="Arial"/>
        </w:rPr>
        <w:t xml:space="preserve">".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“</w:t>
      </w:r>
      <w:r>
        <w:rPr>
          <w:rFonts w:ascii="Arial" w:hAnsi="Arial" w:cs="Arial"/>
          <w:i/>
          <w:iCs/>
        </w:rPr>
        <w:t xml:space="preserve">La donazione di Acqua Campania è frutto del lavoro dell’Advisory Board, che presiedo da anni con l’obiettivo di tutelare e valorizzare il patrimonio del Museo. Ringrazio l’allora direttore Paolo Giulierini, che ha dato avvio al progetto, e l’attuale diret</w:t>
      </w:r>
      <w:r>
        <w:rPr>
          <w:rFonts w:ascii="Arial" w:hAnsi="Arial" w:cs="Arial"/>
          <w:i/>
          <w:iCs/>
        </w:rPr>
        <w:t xml:space="preserve">tore Massimo Osanna, con cui i lavori sono stati conclusi. Promuovere la cultura del verde e della sostenibilità è uno degli obiettivi che anche le istituzioni museali devono proporsi</w:t>
      </w:r>
      <w:r>
        <w:rPr>
          <w:rFonts w:ascii="Arial" w:hAnsi="Arial" w:cs="Arial"/>
        </w:rPr>
        <w:t xml:space="preserve">”, commenta la Presidente dell’Advisory Board del MANN, Mirella Barracco.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"</w:t>
      </w:r>
      <w:r>
        <w:rPr>
          <w:rFonts w:ascii="Arial" w:hAnsi="Arial" w:cs="Arial"/>
          <w:i/>
          <w:iCs/>
        </w:rPr>
        <w:t xml:space="preserve">Siamo orgogliosi di aver contribuito alla valorizzazione di un luogo simbolico come il Giardino orientale del MANN</w:t>
      </w:r>
      <w:r>
        <w:rPr>
          <w:rFonts w:ascii="Arial" w:hAnsi="Arial" w:cs="Arial"/>
        </w:rPr>
        <w:t xml:space="preserve">",</w:t>
      </w:r>
      <w:r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chiara Marco Lombardi, amministratore delegato di Acqua Campania</w:t>
      </w:r>
      <w:r>
        <w:rPr>
          <w:rFonts w:ascii="Arial" w:hAnsi="Arial" w:cs="Arial"/>
        </w:rPr>
        <w:t xml:space="preserve">. "</w:t>
      </w:r>
      <w:r>
        <w:rPr>
          <w:rFonts w:ascii="Arial" w:hAnsi="Arial" w:cs="Arial"/>
          <w:i/>
          <w:iCs/>
        </w:rPr>
        <w:t xml:space="preserve">Come società del territorio, Acqua Campania è fortemente impegnata nella creazione di valore per le comunità, non solo attraverso la gestione efficiente della risorsa idrica, ma anche mediante iniziative che permettano di coniugare responsabilità sociale e</w:t>
      </w:r>
      <w:r>
        <w:rPr>
          <w:rFonts w:ascii="Arial" w:hAnsi="Arial" w:cs="Arial"/>
          <w:i/>
          <w:iCs/>
        </w:rPr>
        <w:t xml:space="preserve"> tutela del patrimonio storico-culturale. In questo senso, restituire funzionalità alle fontane storiche significa non solo preservarne la memoria, ma anche restituire bellezza e quindi benessere alle comunità</w:t>
      </w:r>
      <w:r>
        <w:rPr>
          <w:rFonts w:ascii="Arial" w:hAnsi="Arial" w:cs="Arial"/>
        </w:rPr>
        <w:t xml:space="preserve">”.</w:t>
      </w:r>
      <w:r>
        <w:rPr>
          <w:rFonts w:ascii="Arial" w:hAnsi="Arial" w:cs="Arial"/>
        </w:rPr>
      </w:r>
      <w:r>
        <w:rPr>
          <w:rFonts w:ascii="Arial" w:hAnsi="Arial" w:cs="Arial"/>
          <w14:ligatures w14:val="none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Le operazioni di pulitura hanno rimosso i rifacimenti cementizi, le patine biologiche e le croste calcaree che alteravano la leggibilità delle superfici, restituendo coerenza alle strutture. In particolare, una delle tre fontane – frutto della commistione </w:t>
      </w:r>
      <w:r>
        <w:rPr>
          <w:rFonts w:ascii="Arial" w:hAnsi="Arial" w:cs="Arial"/>
        </w:rPr>
        <w:t xml:space="preserve">tra elementi di epoca romana e integrazioni moderne – ha restituito una scoperta significativa, che sarà oggetto di futuri approfondimenti: sulla piccola colonna centrale del bacino superiore, realizzata in marmo bianco di Paros, è emerso un fiore scolpito</w:t>
      </w:r>
      <w:r>
        <w:rPr>
          <w:rFonts w:ascii="Arial" w:hAnsi="Arial" w:cs="Arial"/>
        </w:rPr>
        <w:t xml:space="preserve"> con foglie aggettanti e decorazioni naturalistiche a rilievo di estrema finezza.</w:t>
      </w:r>
      <w:r>
        <w:rPr>
          <w:rFonts w:ascii="Arial" w:hAnsi="Arial" w:cs="Arial"/>
        </w:rPr>
      </w:r>
      <w:r>
        <w:rPr>
          <w:rFonts w:ascii="Arial" w:hAnsi="Arial" w:cs="Arial"/>
          <w14:ligatures w14:val="none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Arial" w:cs="Arial"/>
          <w:color w:val="000000"/>
          <w:sz w:val="22"/>
          <w:szCs w:val="22"/>
        </w:rPr>
        <w:t xml:space="preserve">Grande attenzione è stata riservata anche alla sostenibilità ambientale. Tutti gli interventi sono stati eseguiti con materiali a basso impatto e prodotti atossici: per il trattamento biocida, ad esempio, si è scelto di non ricorrere a soluzioni chimiche c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onvenzionali –efficaci ma potenzialmente dannose – optando invece per un’essenza naturale derivata dalla pianta di origano, pienamente compatibile con la flora del giardino.</w:t>
      </w:r>
      <w:r>
        <w:rPr>
          <w:rFonts w:ascii="Arial" w:hAnsi="Arial" w:cs="Arial"/>
          <w:sz w:val="22"/>
          <w:szCs w:val="22"/>
          <w14:ligatures w14:val="none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Il restauro, progettato dal Laboratorio di Restauro del MANN (responsabile Mariateresa Operetto, con Manuela Valentini), insieme all’architetto e paesaggista Silvia Neri e al RUP arch. Amanda Piezzo, è stato eseguito da Pantone Restauri s.r.l., e rappresen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ta, grazie al sostegno di Acqua Campania, un esempio virtuoso di collaborazione tra pubblico e privato.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 giardino che torna a vivere, dunque, nel segno della cura e dell’accessibilità. Un passo ulteriore verso un museo sempre più aperto, sostenibile e partecipato.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0"/>
        <w:jc w:val="both"/>
        <w:spacing w:before="240" w:after="24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highlight w:val="none"/>
        </w:rPr>
      </w:r>
      <w:r>
        <w:rPr>
          <w:rFonts w:ascii="Arial" w:hAnsi="Arial" w:eastAsia="Arial" w:cs="Arial"/>
          <w:color w:val="000000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 w:line="17" w:lineRule="atLeast"/>
        <w:rPr>
          <w:rFonts w:ascii="Arial" w:hAnsi="Arial" w:eastAsia="Arial" w:cs="Arial"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Antonella Carlo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afterAutospacing="0" w:line="17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  <w:t xml:space="preserve">Responsabile Ufficio Comunicazione MANN</w:t>
      </w:r>
      <w:r>
        <w:rPr>
          <w:sz w:val="22"/>
          <w:szCs w:val="22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</w:rPr>
      </w:r>
      <w:r/>
    </w:p>
    <w:p>
      <w:pPr>
        <w:pStyle w:val="602"/>
        <w:ind w:left="115" w:right="154"/>
        <w:spacing w:line="242" w:lineRule="auto"/>
      </w:pP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continuous"/>
      <w:pgSz w:w="11900" w:h="16840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  <w:jc w:val="right"/>
    </w:pPr>
    <w:fldSimple w:instr="PAGE \* MERGEFORMAT">
      <w:r>
        <w:t xml:space="preserve">1</w:t>
      </w:r>
    </w:fldSimple>
    <w:r/>
    <w:r/>
  </w:p>
  <w:p>
    <w:pPr>
      <w:pStyle w:val="43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8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8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8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8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8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8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8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character" w:styleId="598" w:default="1">
    <w:name w:val="Default Paragraph Font"/>
    <w:uiPriority w:val="1"/>
    <w:semiHidden/>
    <w:unhideWhenUsed/>
  </w:style>
  <w:style w:type="table" w:styleId="59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 w:default="1">
    <w:name w:val="Normal"/>
    <w:uiPriority w:val="1"/>
    <w:qFormat/>
    <w:rPr>
      <w:rFonts w:ascii="Calibri" w:hAnsi="Calibri" w:eastAsia="Calibri" w:cs="Calibri"/>
      <w:lang w:val="it-IT" w:eastAsia="en-US" w:bidi="ar-SA"/>
    </w:rPr>
  </w:style>
  <w:style w:type="paragraph" w:styleId="602">
    <w:name w:val="Body Text"/>
    <w:basedOn w:val="601"/>
    <w:uiPriority w:val="1"/>
    <w:qFormat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603">
    <w:name w:val="List Paragraph"/>
    <w:basedOn w:val="601"/>
    <w:uiPriority w:val="1"/>
    <w:qFormat/>
    <w:rPr>
      <w:lang w:val="it-IT" w:eastAsia="en-US" w:bidi="ar-SA"/>
    </w:rPr>
  </w:style>
  <w:style w:type="paragraph" w:styleId="604">
    <w:name w:val="Table Paragraph"/>
    <w:basedOn w:val="601"/>
    <w:uiPriority w:val="1"/>
    <w:qFormat/>
    <w:rPr>
      <w:lang w:val="it-I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revision>1</cp:revision>
  <dcterms:created xsi:type="dcterms:W3CDTF">2023-02-28T13:07:21Z</dcterms:created>
  <dcterms:modified xsi:type="dcterms:W3CDTF">2025-06-09T09:40:05Z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2023-02-28T00:00:00Z</vt:filetime>
  </property>
</Properties>
</file>